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776"/>
        <w:gridCol w:w="3400"/>
        <w:gridCol w:w="3617"/>
        <w:gridCol w:w="1281"/>
        <w:gridCol w:w="1320"/>
        <w:gridCol w:w="888"/>
        <w:gridCol w:w="1300"/>
        <w:gridCol w:w="998"/>
        <w:gridCol w:w="2297"/>
      </w:tblGrid>
      <w:tr w:rsidR="00BF7718" w:rsidRPr="00BF7718" w:rsidTr="00BF7718">
        <w:trPr>
          <w:trHeight w:val="70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/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31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 w:rsidP="00BF7718">
            <w:pPr>
              <w:jc w:val="center"/>
              <w:rPr>
                <w:b/>
                <w:bCs/>
              </w:rPr>
            </w:pPr>
            <w:r w:rsidRPr="00BF7718">
              <w:rPr>
                <w:b/>
                <w:bCs/>
              </w:rPr>
              <w:t>Техническое задание</w:t>
            </w:r>
          </w:p>
        </w:tc>
        <w:tc>
          <w:tcPr>
            <w:tcW w:w="1281" w:type="dxa"/>
            <w:noWrap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31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 w:rsidP="00BF7718">
            <w:pPr>
              <w:jc w:val="center"/>
              <w:rPr>
                <w:b/>
                <w:bCs/>
                <w:i/>
                <w:iCs/>
              </w:rPr>
            </w:pPr>
            <w:r w:rsidRPr="00BF7718">
              <w:rPr>
                <w:b/>
                <w:bCs/>
                <w:i/>
                <w:iCs/>
              </w:rPr>
              <w:t>на поставку</w:t>
            </w:r>
            <w:r w:rsidRPr="00BF7718">
              <w:rPr>
                <w:b/>
                <w:bCs/>
              </w:rPr>
              <w:t xml:space="preserve"> </w:t>
            </w:r>
            <w:proofErr w:type="spellStart"/>
            <w:r w:rsidRPr="00BF7718">
              <w:rPr>
                <w:b/>
                <w:bCs/>
                <w:i/>
                <w:iCs/>
              </w:rPr>
              <w:t>нефтепродуктовдля</w:t>
            </w:r>
            <w:proofErr w:type="spellEnd"/>
            <w:r w:rsidRPr="00BF7718">
              <w:rPr>
                <w:b/>
                <w:bCs/>
                <w:i/>
                <w:iCs/>
              </w:rPr>
              <w:t xml:space="preserve"> нужд ООО «</w:t>
            </w:r>
            <w:proofErr w:type="spellStart"/>
            <w:r w:rsidRPr="00BF7718">
              <w:rPr>
                <w:b/>
                <w:bCs/>
                <w:i/>
                <w:iCs/>
              </w:rPr>
              <w:t>Обьнефтеремонт</w:t>
            </w:r>
            <w:proofErr w:type="spellEnd"/>
            <w:r w:rsidRPr="00BF771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281" w:type="dxa"/>
            <w:noWrap/>
            <w:hideMark/>
          </w:tcPr>
          <w:p w:rsidR="00BF7718" w:rsidRPr="00BF7718" w:rsidRDefault="00BF7718" w:rsidP="00BF7718">
            <w:pPr>
              <w:rPr>
                <w:b/>
                <w:bCs/>
                <w:i/>
                <w:iCs/>
              </w:rPr>
            </w:pPr>
          </w:p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31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 w:rsidP="00BF7718">
            <w:pPr>
              <w:jc w:val="center"/>
            </w:pPr>
          </w:p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615"/>
        </w:trPr>
        <w:tc>
          <w:tcPr>
            <w:tcW w:w="15877" w:type="dxa"/>
            <w:gridSpan w:val="9"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720"/>
        </w:trPr>
        <w:tc>
          <w:tcPr>
            <w:tcW w:w="776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№п/п</w:t>
            </w:r>
          </w:p>
        </w:tc>
        <w:tc>
          <w:tcPr>
            <w:tcW w:w="340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Наименование Товара</w:t>
            </w:r>
          </w:p>
        </w:tc>
        <w:tc>
          <w:tcPr>
            <w:tcW w:w="3617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Характеристика Товара (ГОСТ, ТУ)</w:t>
            </w:r>
          </w:p>
        </w:tc>
        <w:tc>
          <w:tcPr>
            <w:tcW w:w="1281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Ед. измерения</w:t>
            </w:r>
          </w:p>
        </w:tc>
        <w:tc>
          <w:tcPr>
            <w:tcW w:w="132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Количество</w:t>
            </w:r>
          </w:p>
        </w:tc>
        <w:tc>
          <w:tcPr>
            <w:tcW w:w="888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Цена за ед. Товара без НДС. Руб.</w:t>
            </w:r>
          </w:p>
        </w:tc>
        <w:tc>
          <w:tcPr>
            <w:tcW w:w="130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Стоимость Товара без НДС, руб.</w:t>
            </w:r>
          </w:p>
        </w:tc>
        <w:tc>
          <w:tcPr>
            <w:tcW w:w="998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 xml:space="preserve">Сумма  НДС, руб. </w:t>
            </w:r>
          </w:p>
        </w:tc>
        <w:tc>
          <w:tcPr>
            <w:tcW w:w="2297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Общая стоимость Товара с НДС и доставкой, руб.</w:t>
            </w:r>
          </w:p>
        </w:tc>
      </w:tr>
      <w:tr w:rsidR="00BF7718" w:rsidRPr="00BF7718" w:rsidTr="00BF7718">
        <w:trPr>
          <w:trHeight w:val="968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1</w:t>
            </w:r>
          </w:p>
        </w:tc>
        <w:tc>
          <w:tcPr>
            <w:tcW w:w="3400" w:type="dxa"/>
            <w:hideMark/>
          </w:tcPr>
          <w:p w:rsidR="00BF7718" w:rsidRPr="00BF7718" w:rsidRDefault="00BF7718">
            <w:r w:rsidRPr="00BF7718">
              <w:t>Дизельное топливо (зимнее), соответствующее государственным стандартам (ГОСТу) и техническим условиям (ТУ) на данный вид топлива</w:t>
            </w:r>
          </w:p>
        </w:tc>
        <w:tc>
          <w:tcPr>
            <w:tcW w:w="3617" w:type="dxa"/>
            <w:hideMark/>
          </w:tcPr>
          <w:p w:rsidR="00BF7718" w:rsidRPr="00BF7718" w:rsidRDefault="00BF7718" w:rsidP="00BF7718">
            <w:r w:rsidRPr="00BF7718">
              <w:t>указать предлагаемое ДТ, Гост, ТУ характеристики</w:t>
            </w:r>
          </w:p>
        </w:tc>
        <w:tc>
          <w:tcPr>
            <w:tcW w:w="1281" w:type="dxa"/>
            <w:noWrap/>
            <w:hideMark/>
          </w:tcPr>
          <w:p w:rsidR="00BF7718" w:rsidRPr="00BF7718" w:rsidRDefault="00BF7718" w:rsidP="00BF7718">
            <w:r w:rsidRPr="00BF7718">
              <w:t>л</w:t>
            </w:r>
          </w:p>
        </w:tc>
        <w:tc>
          <w:tcPr>
            <w:tcW w:w="1320" w:type="dxa"/>
            <w:noWrap/>
            <w:hideMark/>
          </w:tcPr>
          <w:p w:rsidR="00BF7718" w:rsidRPr="00BF7718" w:rsidRDefault="00BF7718" w:rsidP="00BF7718">
            <w:r w:rsidRPr="00BF7718">
              <w:t>1</w:t>
            </w:r>
          </w:p>
        </w:tc>
        <w:tc>
          <w:tcPr>
            <w:tcW w:w="888" w:type="dxa"/>
            <w:hideMark/>
          </w:tcPr>
          <w:p w:rsidR="00BF7718" w:rsidRPr="00BF7718" w:rsidRDefault="00BF7718" w:rsidP="00BF7718">
            <w:r w:rsidRPr="00BF7718">
              <w:t> </w:t>
            </w:r>
          </w:p>
        </w:tc>
        <w:tc>
          <w:tcPr>
            <w:tcW w:w="1300" w:type="dxa"/>
            <w:hideMark/>
          </w:tcPr>
          <w:p w:rsidR="00BF7718" w:rsidRPr="00BF7718" w:rsidRDefault="00BF7718" w:rsidP="00BF7718">
            <w:r w:rsidRPr="00BF7718">
              <w:t>0,00</w:t>
            </w:r>
          </w:p>
        </w:tc>
        <w:tc>
          <w:tcPr>
            <w:tcW w:w="998" w:type="dxa"/>
            <w:hideMark/>
          </w:tcPr>
          <w:p w:rsidR="00BF7718" w:rsidRPr="00BF7718" w:rsidRDefault="00BF7718" w:rsidP="00BF7718">
            <w:r w:rsidRPr="00BF7718">
              <w:t>0,00</w:t>
            </w:r>
          </w:p>
        </w:tc>
        <w:tc>
          <w:tcPr>
            <w:tcW w:w="2297" w:type="dxa"/>
            <w:hideMark/>
          </w:tcPr>
          <w:p w:rsidR="00BF7718" w:rsidRPr="00BF7718" w:rsidRDefault="00BF7718" w:rsidP="00BF7718">
            <w:r w:rsidRPr="00BF7718">
              <w:t>0,00</w:t>
            </w:r>
          </w:p>
        </w:tc>
      </w:tr>
      <w:tr w:rsidR="00BF7718" w:rsidRPr="00BF7718" w:rsidTr="00BF7718">
        <w:trPr>
          <w:trHeight w:val="690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3</w:t>
            </w:r>
          </w:p>
        </w:tc>
        <w:tc>
          <w:tcPr>
            <w:tcW w:w="3400" w:type="dxa"/>
            <w:noWrap/>
            <w:hideMark/>
          </w:tcPr>
          <w:p w:rsidR="00BF7718" w:rsidRPr="00BF7718" w:rsidRDefault="00BF7718" w:rsidP="00BF7718">
            <w:r w:rsidRPr="00BF7718">
              <w:t>ИТОГО</w:t>
            </w:r>
          </w:p>
        </w:tc>
        <w:tc>
          <w:tcPr>
            <w:tcW w:w="3617" w:type="dxa"/>
            <w:noWrap/>
            <w:hideMark/>
          </w:tcPr>
          <w:p w:rsidR="00BF7718" w:rsidRPr="00BF7718" w:rsidRDefault="00BF7718">
            <w:r w:rsidRPr="00BF7718">
              <w:t> </w:t>
            </w:r>
          </w:p>
        </w:tc>
        <w:tc>
          <w:tcPr>
            <w:tcW w:w="1281" w:type="dxa"/>
            <w:noWrap/>
            <w:hideMark/>
          </w:tcPr>
          <w:p w:rsidR="00BF7718" w:rsidRPr="00BF7718" w:rsidRDefault="00BF7718">
            <w:r w:rsidRPr="00BF7718">
              <w:t> </w:t>
            </w:r>
          </w:p>
        </w:tc>
        <w:tc>
          <w:tcPr>
            <w:tcW w:w="1320" w:type="dxa"/>
            <w:noWrap/>
            <w:hideMark/>
          </w:tcPr>
          <w:p w:rsidR="00BF7718" w:rsidRPr="00BF7718" w:rsidRDefault="00BF7718">
            <w:r w:rsidRPr="00BF7718">
              <w:t> </w:t>
            </w:r>
          </w:p>
        </w:tc>
        <w:tc>
          <w:tcPr>
            <w:tcW w:w="888" w:type="dxa"/>
            <w:noWrap/>
            <w:hideMark/>
          </w:tcPr>
          <w:p w:rsidR="00BF7718" w:rsidRPr="00BF7718" w:rsidRDefault="00BF7718">
            <w:r w:rsidRPr="00BF7718">
              <w:t> </w:t>
            </w:r>
          </w:p>
        </w:tc>
        <w:tc>
          <w:tcPr>
            <w:tcW w:w="1300" w:type="dxa"/>
            <w:noWrap/>
            <w:hideMark/>
          </w:tcPr>
          <w:p w:rsidR="00BF7718" w:rsidRPr="00BF7718" w:rsidRDefault="00BF7718" w:rsidP="00BF7718">
            <w:r w:rsidRPr="00BF7718">
              <w:t>0,00</w:t>
            </w:r>
          </w:p>
        </w:tc>
        <w:tc>
          <w:tcPr>
            <w:tcW w:w="998" w:type="dxa"/>
            <w:noWrap/>
            <w:hideMark/>
          </w:tcPr>
          <w:p w:rsidR="00BF7718" w:rsidRPr="00BF7718" w:rsidRDefault="00BF7718" w:rsidP="00BF7718">
            <w:r w:rsidRPr="00BF7718">
              <w:t>0,00</w:t>
            </w:r>
          </w:p>
        </w:tc>
        <w:tc>
          <w:tcPr>
            <w:tcW w:w="2297" w:type="dxa"/>
            <w:hideMark/>
          </w:tcPr>
          <w:p w:rsidR="00BF7718" w:rsidRPr="00BF7718" w:rsidRDefault="00BF7718" w:rsidP="00BF7718">
            <w:r w:rsidRPr="00BF7718">
              <w:t>0,00</w:t>
            </w:r>
          </w:p>
        </w:tc>
      </w:tr>
      <w:tr w:rsidR="00BF7718" w:rsidRPr="00BF7718" w:rsidTr="00BF7718">
        <w:trPr>
          <w:trHeight w:val="458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1</w:t>
            </w:r>
          </w:p>
        </w:tc>
        <w:tc>
          <w:tcPr>
            <w:tcW w:w="3400" w:type="dxa"/>
            <w:noWrap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Условия поставки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r w:rsidRPr="00BF7718">
              <w:t>Доставка и заправка</w:t>
            </w:r>
          </w:p>
        </w:tc>
      </w:tr>
      <w:tr w:rsidR="00BF7718" w:rsidRPr="00BF7718" w:rsidTr="00BF7718">
        <w:trPr>
          <w:trHeight w:val="269"/>
        </w:trPr>
        <w:tc>
          <w:tcPr>
            <w:tcW w:w="776" w:type="dxa"/>
            <w:vMerge w:val="restart"/>
            <w:noWrap/>
            <w:hideMark/>
          </w:tcPr>
          <w:p w:rsidR="00BF7718" w:rsidRPr="00BF7718" w:rsidRDefault="00BF7718" w:rsidP="00BF7718">
            <w:r w:rsidRPr="00BF7718">
              <w:t>2</w:t>
            </w:r>
          </w:p>
        </w:tc>
        <w:tc>
          <w:tcPr>
            <w:tcW w:w="3400" w:type="dxa"/>
            <w:vMerge w:val="restart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Реквизиты грузополучателя (отгрузочные реквизиты)</w:t>
            </w:r>
          </w:p>
        </w:tc>
        <w:tc>
          <w:tcPr>
            <w:tcW w:w="11701" w:type="dxa"/>
            <w:gridSpan w:val="7"/>
            <w:vMerge w:val="restart"/>
            <w:hideMark/>
          </w:tcPr>
          <w:p w:rsidR="00BF7718" w:rsidRPr="00BF7718" w:rsidRDefault="00BF7718">
            <w:r w:rsidRPr="00BF7718">
              <w:t>628606,  Тюменская область, ХМАО-Югра,</w:t>
            </w:r>
            <w:r w:rsidRPr="00BF7718">
              <w:br/>
              <w:t>г. Нижневартовск, Индустриальная д. 4а стр.1</w:t>
            </w:r>
          </w:p>
        </w:tc>
      </w:tr>
      <w:tr w:rsidR="00BF7718" w:rsidRPr="00BF7718" w:rsidTr="00BF7718">
        <w:trPr>
          <w:trHeight w:val="269"/>
        </w:trPr>
        <w:tc>
          <w:tcPr>
            <w:tcW w:w="776" w:type="dxa"/>
            <w:vMerge/>
            <w:hideMark/>
          </w:tcPr>
          <w:p w:rsidR="00BF7718" w:rsidRPr="00BF7718" w:rsidRDefault="00BF7718"/>
        </w:tc>
        <w:tc>
          <w:tcPr>
            <w:tcW w:w="3400" w:type="dxa"/>
            <w:vMerge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11701" w:type="dxa"/>
            <w:gridSpan w:val="7"/>
            <w:vMerge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269"/>
        </w:trPr>
        <w:tc>
          <w:tcPr>
            <w:tcW w:w="776" w:type="dxa"/>
            <w:vMerge/>
            <w:hideMark/>
          </w:tcPr>
          <w:p w:rsidR="00BF7718" w:rsidRPr="00BF7718" w:rsidRDefault="00BF7718"/>
        </w:tc>
        <w:tc>
          <w:tcPr>
            <w:tcW w:w="3400" w:type="dxa"/>
            <w:vMerge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11701" w:type="dxa"/>
            <w:gridSpan w:val="7"/>
            <w:vMerge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269"/>
        </w:trPr>
        <w:tc>
          <w:tcPr>
            <w:tcW w:w="776" w:type="dxa"/>
            <w:vMerge/>
            <w:hideMark/>
          </w:tcPr>
          <w:p w:rsidR="00BF7718" w:rsidRPr="00BF7718" w:rsidRDefault="00BF7718"/>
        </w:tc>
        <w:tc>
          <w:tcPr>
            <w:tcW w:w="3400" w:type="dxa"/>
            <w:vMerge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11701" w:type="dxa"/>
            <w:gridSpan w:val="7"/>
            <w:vMerge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269"/>
        </w:trPr>
        <w:tc>
          <w:tcPr>
            <w:tcW w:w="776" w:type="dxa"/>
            <w:vMerge/>
            <w:hideMark/>
          </w:tcPr>
          <w:p w:rsidR="00BF7718" w:rsidRPr="00BF7718" w:rsidRDefault="00BF7718"/>
        </w:tc>
        <w:tc>
          <w:tcPr>
            <w:tcW w:w="3400" w:type="dxa"/>
            <w:vMerge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11701" w:type="dxa"/>
            <w:gridSpan w:val="7"/>
            <w:vMerge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465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3</w:t>
            </w:r>
          </w:p>
        </w:tc>
        <w:tc>
          <w:tcPr>
            <w:tcW w:w="340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Базис поставки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proofErr w:type="spellStart"/>
            <w:r w:rsidRPr="00BF7718">
              <w:t>Мегионское</w:t>
            </w:r>
            <w:proofErr w:type="spellEnd"/>
            <w:r w:rsidRPr="00BF7718">
              <w:t xml:space="preserve"> Месторождение </w:t>
            </w:r>
            <w:proofErr w:type="spellStart"/>
            <w:r w:rsidRPr="00BF7718">
              <w:t>Баграс</w:t>
            </w:r>
            <w:proofErr w:type="spellEnd"/>
            <w:r w:rsidRPr="00BF7718">
              <w:t xml:space="preserve"> (ориентировочно 40 - 60км от Нижневартовска) </w:t>
            </w:r>
          </w:p>
        </w:tc>
      </w:tr>
      <w:tr w:rsidR="00BF7718" w:rsidRPr="00BF7718" w:rsidTr="00BF7718">
        <w:trPr>
          <w:trHeight w:val="1005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 </w:t>
            </w:r>
          </w:p>
        </w:tc>
        <w:tc>
          <w:tcPr>
            <w:tcW w:w="340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Ориентировочное потребление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r w:rsidRPr="00BF7718">
              <w:t xml:space="preserve">        -  февраль 2019г, среднемесячный объем потребления ориентировочно 6-10 </w:t>
            </w:r>
            <w:proofErr w:type="spellStart"/>
            <w:r w:rsidRPr="00BF7718">
              <w:t>тн</w:t>
            </w:r>
            <w:proofErr w:type="spellEnd"/>
            <w:r w:rsidRPr="00BF7718">
              <w:t>., (2-3 бригады),</w:t>
            </w:r>
            <w:r w:rsidRPr="00BF7718">
              <w:br/>
              <w:t xml:space="preserve">        -  март  2019г, среднемесячный объем потребления ориентировочно 13-15 </w:t>
            </w:r>
            <w:proofErr w:type="spellStart"/>
            <w:r w:rsidRPr="00BF7718">
              <w:t>тн</w:t>
            </w:r>
            <w:proofErr w:type="spellEnd"/>
            <w:r w:rsidRPr="00BF7718">
              <w:t>.   (4-5 бригад),</w:t>
            </w:r>
            <w:r w:rsidRPr="00BF7718">
              <w:br/>
              <w:t xml:space="preserve">        - апрель 2019г, среднемесячный объем потребления ориентировочно 17-20 </w:t>
            </w:r>
            <w:proofErr w:type="spellStart"/>
            <w:r w:rsidRPr="00BF7718">
              <w:t>тн</w:t>
            </w:r>
            <w:proofErr w:type="spellEnd"/>
            <w:r w:rsidRPr="00BF7718">
              <w:t xml:space="preserve">, (6 бригад). </w:t>
            </w:r>
          </w:p>
        </w:tc>
      </w:tr>
      <w:tr w:rsidR="00BF7718" w:rsidRPr="00BF7718" w:rsidTr="00BF7718">
        <w:trPr>
          <w:trHeight w:val="994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4</w:t>
            </w:r>
            <w:bookmarkStart w:id="0" w:name="_GoBack"/>
            <w:bookmarkEnd w:id="0"/>
          </w:p>
        </w:tc>
        <w:tc>
          <w:tcPr>
            <w:tcW w:w="340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 xml:space="preserve">Порядок поставки 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r w:rsidRPr="00BF7718">
              <w:t>Согласно заявок. Периодичность: 1 раз в 3-е суток каждую бригаду.                                                                                                                                                                                                                              Ориентировочное месячное потребление товара может не соответствовать  фактическому потреблению и указывается с целью осуществления планирования  Фактическое потребление указывается в универсальном передаточном документе (УПД)</w:t>
            </w:r>
          </w:p>
        </w:tc>
      </w:tr>
      <w:tr w:rsidR="00BF7718" w:rsidRPr="00BF7718" w:rsidTr="00BF7718">
        <w:trPr>
          <w:trHeight w:val="555"/>
        </w:trPr>
        <w:tc>
          <w:tcPr>
            <w:tcW w:w="776" w:type="dxa"/>
            <w:vMerge w:val="restart"/>
            <w:hideMark/>
          </w:tcPr>
          <w:p w:rsidR="00BF7718" w:rsidRPr="00BF7718" w:rsidRDefault="00BF7718" w:rsidP="00BF7718">
            <w:r w:rsidRPr="00BF7718">
              <w:t>5</w:t>
            </w:r>
          </w:p>
        </w:tc>
        <w:tc>
          <w:tcPr>
            <w:tcW w:w="3400" w:type="dxa"/>
            <w:vMerge w:val="restart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Срок  или условие оплаты Товара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r w:rsidRPr="00BF7718">
              <w:t xml:space="preserve">Оплата по факту поставки  не позднее _______________календарных дней с даты </w:t>
            </w:r>
            <w:proofErr w:type="spellStart"/>
            <w:r w:rsidRPr="00BF7718">
              <w:t>пгоставки</w:t>
            </w:r>
            <w:proofErr w:type="spellEnd"/>
            <w:r w:rsidRPr="00BF7718">
              <w:t xml:space="preserve"> товара путем перечисления денежных средств на расчетный счет Поставщика , Датой поставки товара </w:t>
            </w:r>
            <w:proofErr w:type="spellStart"/>
            <w:r w:rsidRPr="00BF7718">
              <w:t>явлчется</w:t>
            </w:r>
            <w:proofErr w:type="spellEnd"/>
            <w:r w:rsidRPr="00BF7718">
              <w:t xml:space="preserve"> дата , указанная в универсальном передаточном документе (УПД)</w:t>
            </w:r>
          </w:p>
        </w:tc>
      </w:tr>
      <w:tr w:rsidR="00BF7718" w:rsidRPr="00BF7718" w:rsidTr="00BF7718">
        <w:trPr>
          <w:trHeight w:val="600"/>
        </w:trPr>
        <w:tc>
          <w:tcPr>
            <w:tcW w:w="776" w:type="dxa"/>
            <w:vMerge/>
            <w:hideMark/>
          </w:tcPr>
          <w:p w:rsidR="00BF7718" w:rsidRPr="00BF7718" w:rsidRDefault="00BF7718"/>
        </w:tc>
        <w:tc>
          <w:tcPr>
            <w:tcW w:w="3400" w:type="dxa"/>
            <w:vMerge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r w:rsidRPr="00BF7718">
              <w:t>Датой оплаты считается дата списания денежных средств с расчетного счета Покупателя.</w:t>
            </w:r>
          </w:p>
        </w:tc>
      </w:tr>
      <w:tr w:rsidR="00BF7718" w:rsidRPr="00BF7718" w:rsidTr="00BF7718">
        <w:trPr>
          <w:trHeight w:val="660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lastRenderedPageBreak/>
              <w:t>6</w:t>
            </w:r>
          </w:p>
        </w:tc>
        <w:tc>
          <w:tcPr>
            <w:tcW w:w="340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Порядок направления информации об отгрузке Товара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r w:rsidRPr="00BF7718">
              <w:t>Письменно по т/ф 8.3466.311-539 с предоставлением копий документов, подтверждающих факт отгрузки.</w:t>
            </w:r>
          </w:p>
        </w:tc>
      </w:tr>
      <w:tr w:rsidR="00BF7718" w:rsidRPr="00BF7718" w:rsidTr="00BF7718">
        <w:trPr>
          <w:trHeight w:val="975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7</w:t>
            </w:r>
          </w:p>
        </w:tc>
        <w:tc>
          <w:tcPr>
            <w:tcW w:w="340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Документация, предоставляемая Поставщиком при поставке Товара в обязательном порядке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r w:rsidRPr="00BF7718">
              <w:t xml:space="preserve">Универсальный передаточный документ (УПД), </w:t>
            </w:r>
            <w:proofErr w:type="spellStart"/>
            <w:r w:rsidRPr="00BF7718">
              <w:t>Cчет</w:t>
            </w:r>
            <w:proofErr w:type="spellEnd"/>
            <w:r w:rsidRPr="00BF7718">
              <w:t>-фактура (оригинал), товарная накладная формы ТОРГ-12 (оригинал), паспорт (сертификат) качества, сертификат соответствия (при наличии), копия санитарно-эпидемиологического заключения, копия паспорта безопасности вещества (материала).</w:t>
            </w:r>
          </w:p>
        </w:tc>
      </w:tr>
      <w:tr w:rsidR="00BF7718" w:rsidRPr="00BF7718" w:rsidTr="00BF7718">
        <w:trPr>
          <w:trHeight w:val="600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8</w:t>
            </w:r>
          </w:p>
        </w:tc>
        <w:tc>
          <w:tcPr>
            <w:tcW w:w="3400" w:type="dxa"/>
            <w:noWrap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Гарантийный срок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r w:rsidRPr="00BF7718">
              <w:t>Гарантийный срок Поставщика на поставляемый Товар составляет  12  месяцев с даты поставки Товара.</w:t>
            </w:r>
          </w:p>
        </w:tc>
      </w:tr>
      <w:tr w:rsidR="00BF7718" w:rsidRPr="00BF7718" w:rsidTr="00BF7718">
        <w:trPr>
          <w:trHeight w:val="525"/>
        </w:trPr>
        <w:tc>
          <w:tcPr>
            <w:tcW w:w="776" w:type="dxa"/>
            <w:noWrap/>
            <w:hideMark/>
          </w:tcPr>
          <w:p w:rsidR="00BF7718" w:rsidRPr="00BF7718" w:rsidRDefault="00BF7718" w:rsidP="00BF7718">
            <w:r w:rsidRPr="00BF7718">
              <w:t>9</w:t>
            </w:r>
          </w:p>
        </w:tc>
        <w:tc>
          <w:tcPr>
            <w:tcW w:w="3400" w:type="dxa"/>
            <w:hideMark/>
          </w:tcPr>
          <w:p w:rsidR="00BF7718" w:rsidRPr="00BF7718" w:rsidRDefault="00BF7718" w:rsidP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Особые условия</w:t>
            </w:r>
          </w:p>
        </w:tc>
        <w:tc>
          <w:tcPr>
            <w:tcW w:w="11701" w:type="dxa"/>
            <w:gridSpan w:val="7"/>
            <w:hideMark/>
          </w:tcPr>
          <w:p w:rsidR="00BF7718" w:rsidRPr="00BF7718" w:rsidRDefault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 xml:space="preserve">В </w:t>
            </w:r>
            <w:proofErr w:type="spellStart"/>
            <w:r w:rsidRPr="00BF7718">
              <w:rPr>
                <w:b/>
                <w:bCs/>
              </w:rPr>
              <w:t>соответстии</w:t>
            </w:r>
            <w:proofErr w:type="spellEnd"/>
            <w:r w:rsidRPr="00BF7718">
              <w:rPr>
                <w:b/>
                <w:bCs/>
              </w:rPr>
              <w:t xml:space="preserve"> с ГОСТ; ТУ.  Наличие пропуска для </w:t>
            </w:r>
            <w:proofErr w:type="spellStart"/>
            <w:r w:rsidRPr="00BF7718">
              <w:rPr>
                <w:b/>
                <w:bCs/>
              </w:rPr>
              <w:t>вьезда</w:t>
            </w:r>
            <w:proofErr w:type="spellEnd"/>
            <w:r w:rsidRPr="00BF7718">
              <w:rPr>
                <w:b/>
                <w:bCs/>
              </w:rPr>
              <w:t xml:space="preserve"> и работ ОАО "</w:t>
            </w:r>
            <w:proofErr w:type="spellStart"/>
            <w:r w:rsidRPr="00BF7718">
              <w:rPr>
                <w:b/>
                <w:bCs/>
              </w:rPr>
              <w:t>Славнефть</w:t>
            </w:r>
            <w:proofErr w:type="spellEnd"/>
            <w:r w:rsidRPr="00BF7718">
              <w:rPr>
                <w:b/>
                <w:bCs/>
              </w:rPr>
              <w:t>-Мегионнефтегаз"</w:t>
            </w:r>
          </w:p>
        </w:tc>
      </w:tr>
      <w:tr w:rsidR="00BF7718" w:rsidRPr="00BF7718" w:rsidTr="00BF7718">
        <w:trPr>
          <w:trHeight w:val="25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/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25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/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31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Покупатель</w:t>
            </w:r>
          </w:p>
        </w:tc>
        <w:tc>
          <w:tcPr>
            <w:tcW w:w="3617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1281" w:type="dxa"/>
            <w:noWrap/>
            <w:hideMark/>
          </w:tcPr>
          <w:p w:rsidR="00BF7718" w:rsidRPr="00BF7718" w:rsidRDefault="00BF7718" w:rsidP="00BF7718"/>
        </w:tc>
        <w:tc>
          <w:tcPr>
            <w:tcW w:w="1320" w:type="dxa"/>
            <w:noWrap/>
            <w:hideMark/>
          </w:tcPr>
          <w:p w:rsidR="00BF7718" w:rsidRPr="00BF7718" w:rsidRDefault="00BF7718" w:rsidP="00BF7718"/>
        </w:tc>
        <w:tc>
          <w:tcPr>
            <w:tcW w:w="888" w:type="dxa"/>
            <w:noWrap/>
            <w:hideMark/>
          </w:tcPr>
          <w:p w:rsidR="00BF7718" w:rsidRPr="00BF7718" w:rsidRDefault="00BF7718" w:rsidP="00BF7718"/>
        </w:tc>
        <w:tc>
          <w:tcPr>
            <w:tcW w:w="1300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Поставщик</w:t>
            </w:r>
          </w:p>
        </w:tc>
        <w:tc>
          <w:tcPr>
            <w:tcW w:w="998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289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/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263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/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31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______________________</w:t>
            </w:r>
          </w:p>
        </w:tc>
        <w:tc>
          <w:tcPr>
            <w:tcW w:w="3617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2298" w:type="dxa"/>
            <w:gridSpan w:val="2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___________________</w:t>
            </w:r>
          </w:p>
        </w:tc>
        <w:tc>
          <w:tcPr>
            <w:tcW w:w="2297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</w:tr>
      <w:tr w:rsidR="00BF7718" w:rsidRPr="00BF7718" w:rsidTr="00BF7718">
        <w:trPr>
          <w:trHeight w:val="31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/>
        </w:tc>
        <w:tc>
          <w:tcPr>
            <w:tcW w:w="3617" w:type="dxa"/>
            <w:noWrap/>
            <w:hideMark/>
          </w:tcPr>
          <w:p w:rsidR="00BF7718" w:rsidRPr="00BF7718" w:rsidRDefault="00BF7718"/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  <w:tr w:rsidR="00BF7718" w:rsidRPr="00BF7718" w:rsidTr="00BF7718">
        <w:trPr>
          <w:trHeight w:val="315"/>
        </w:trPr>
        <w:tc>
          <w:tcPr>
            <w:tcW w:w="776" w:type="dxa"/>
            <w:noWrap/>
            <w:hideMark/>
          </w:tcPr>
          <w:p w:rsidR="00BF7718" w:rsidRPr="00BF7718" w:rsidRDefault="00BF7718"/>
        </w:tc>
        <w:tc>
          <w:tcPr>
            <w:tcW w:w="3400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  <w:r w:rsidRPr="00BF7718">
              <w:rPr>
                <w:b/>
                <w:bCs/>
              </w:rPr>
              <w:t>Н.И. Даниляк</w:t>
            </w:r>
          </w:p>
        </w:tc>
        <w:tc>
          <w:tcPr>
            <w:tcW w:w="3617" w:type="dxa"/>
            <w:noWrap/>
            <w:hideMark/>
          </w:tcPr>
          <w:p w:rsidR="00BF7718" w:rsidRPr="00BF7718" w:rsidRDefault="00BF7718">
            <w:pPr>
              <w:rPr>
                <w:b/>
                <w:bCs/>
              </w:rPr>
            </w:pPr>
          </w:p>
        </w:tc>
        <w:tc>
          <w:tcPr>
            <w:tcW w:w="1281" w:type="dxa"/>
            <w:noWrap/>
            <w:hideMark/>
          </w:tcPr>
          <w:p w:rsidR="00BF7718" w:rsidRPr="00BF7718" w:rsidRDefault="00BF7718"/>
        </w:tc>
        <w:tc>
          <w:tcPr>
            <w:tcW w:w="1320" w:type="dxa"/>
            <w:noWrap/>
            <w:hideMark/>
          </w:tcPr>
          <w:p w:rsidR="00BF7718" w:rsidRPr="00BF7718" w:rsidRDefault="00BF7718"/>
        </w:tc>
        <w:tc>
          <w:tcPr>
            <w:tcW w:w="888" w:type="dxa"/>
            <w:noWrap/>
            <w:hideMark/>
          </w:tcPr>
          <w:p w:rsidR="00BF7718" w:rsidRPr="00BF7718" w:rsidRDefault="00BF7718"/>
        </w:tc>
        <w:tc>
          <w:tcPr>
            <w:tcW w:w="1300" w:type="dxa"/>
            <w:noWrap/>
            <w:hideMark/>
          </w:tcPr>
          <w:p w:rsidR="00BF7718" w:rsidRPr="00BF7718" w:rsidRDefault="00BF7718"/>
        </w:tc>
        <w:tc>
          <w:tcPr>
            <w:tcW w:w="998" w:type="dxa"/>
            <w:noWrap/>
            <w:hideMark/>
          </w:tcPr>
          <w:p w:rsidR="00BF7718" w:rsidRPr="00BF7718" w:rsidRDefault="00BF7718"/>
        </w:tc>
        <w:tc>
          <w:tcPr>
            <w:tcW w:w="2297" w:type="dxa"/>
            <w:noWrap/>
            <w:hideMark/>
          </w:tcPr>
          <w:p w:rsidR="00BF7718" w:rsidRPr="00BF7718" w:rsidRDefault="00BF7718"/>
        </w:tc>
      </w:tr>
    </w:tbl>
    <w:p w:rsidR="006A158A" w:rsidRDefault="006A158A"/>
    <w:sectPr w:rsidR="006A158A" w:rsidSect="00BF771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B8"/>
    <w:rsid w:val="005167B8"/>
    <w:rsid w:val="006A158A"/>
    <w:rsid w:val="00B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75212-4D42-4E84-B4A7-537AD766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2019-02-13T12:40:00Z</dcterms:created>
  <dcterms:modified xsi:type="dcterms:W3CDTF">2019-02-13T12:42:00Z</dcterms:modified>
</cp:coreProperties>
</file>