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9411A">
        <w:trPr>
          <w:trHeight w:val="1573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9674D80" w14:textId="11C1A6F1" w:rsidR="0049411A" w:rsidRPr="0049411A" w:rsidRDefault="0049411A" w:rsidP="0049411A">
            <w:r w:rsidRPr="0049411A">
              <w:t>ОБЛАСТНОЕ ГОСУДАРСТВЕННОЕ КАЗЁННОЕ ОБЩЕОБРАЗОВАТЕЛЬНОЕ УЧРЕЖДЕНИЕ "КАДЕТСКАЯ ШКОЛА-ИНТЕРНАТ ИМЕНИ ГЕНЕРАЛ-ПОЛКОВНИКА В.С. ЧЕЧЕВАТОВА"</w:t>
            </w:r>
          </w:p>
          <w:p w14:paraId="15123B7D" w14:textId="27EF10E1" w:rsidR="002D637A" w:rsidRDefault="002D637A" w:rsidP="005F4E35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59EB9A03" w14:textId="7279272E" w:rsidR="0049411A" w:rsidRPr="0049411A" w:rsidRDefault="0049411A" w:rsidP="0049411A">
      <w:pPr>
        <w:pStyle w:val="1"/>
        <w:spacing w:before="169"/>
        <w:ind w:left="1964" w:right="1250"/>
        <w:jc w:val="center"/>
      </w:pPr>
      <w:r w:rsidRPr="0049411A">
        <w:t>ОБЛАСТНОЕ ГОСУДАРСТВЕННОЕ КАЗЁННОЕ ОБЩЕОБРАЗОВАТЕЛЬНОЕ УЧРЕЖДЕНИЕ "КАДЕТСКАЯ ШКОЛА-ИНТЕРНАТ ИМЕНИ ГЕНЕРАЛ-ПОЛКОВНИКА В.</w:t>
      </w:r>
      <w:r>
        <w:t xml:space="preserve"> </w:t>
      </w:r>
      <w:r w:rsidRPr="0049411A">
        <w:t>С. ЧЕЧЕВАТОВА"</w:t>
      </w:r>
    </w:p>
    <w:p w14:paraId="03C071DF" w14:textId="5D160770" w:rsidR="00736399" w:rsidRPr="00136518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3CD96F64" w14:textId="7E1CE430" w:rsidR="00736399" w:rsidRPr="0049411A" w:rsidRDefault="0049411A" w:rsidP="0049411A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 w:rsidRPr="0049411A">
        <w:rPr>
          <w:rFonts w:ascii="Neo Sans Pro" w:hAnsi="Neo Sans Pro"/>
          <w:sz w:val="28"/>
          <w:szCs w:val="28"/>
        </w:rPr>
        <w:t>ОГКОУ "Кадетская Школа-Интернат" 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 xml:space="preserve">поставку </w:t>
      </w:r>
      <w:r w:rsidR="005F4E35">
        <w:rPr>
          <w:rFonts w:ascii="Neo Sans Pro" w:hAnsi="Neo Sans Pro"/>
          <w:b/>
          <w:w w:val="105"/>
          <w:sz w:val="28"/>
          <w:szCs w:val="28"/>
        </w:rPr>
        <w:t xml:space="preserve">ГСМ </w:t>
      </w:r>
      <w:r w:rsidR="00736399" w:rsidRPr="00086700">
        <w:rPr>
          <w:rFonts w:ascii="Neo Sans Pro" w:hAnsi="Neo Sans Pro"/>
          <w:w w:val="105"/>
          <w:sz w:val="28"/>
          <w:szCs w:val="28"/>
        </w:rPr>
        <w:t>для нужд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 xml:space="preserve">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180E10D9" w14:textId="77777777" w:rsidR="00736399" w:rsidRPr="00736399" w:rsidRDefault="00736399" w:rsidP="008C1E2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355571C3" w:rsidR="00736399" w:rsidRPr="00627116" w:rsidRDefault="00736399" w:rsidP="008C1E2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Срок поставки:</w:t>
      </w:r>
      <w:r w:rsidR="00086700">
        <w:rPr>
          <w:rFonts w:ascii="Neo Sans Pro" w:hAnsi="Neo Sans Pro"/>
          <w:sz w:val="28"/>
          <w:szCs w:val="28"/>
        </w:rPr>
        <w:t xml:space="preserve"> </w:t>
      </w:r>
      <w:r w:rsidR="0049411A">
        <w:rPr>
          <w:rFonts w:ascii="Neo Sans Pro" w:hAnsi="Neo Sans Pro"/>
          <w:sz w:val="28"/>
          <w:szCs w:val="28"/>
        </w:rPr>
        <w:t>2 полугодие</w:t>
      </w:r>
      <w:r w:rsidR="005F4E35">
        <w:rPr>
          <w:rFonts w:ascii="Neo Sans Pro" w:hAnsi="Neo Sans Pro"/>
          <w:sz w:val="28"/>
          <w:szCs w:val="28"/>
        </w:rPr>
        <w:t xml:space="preserve"> 2021</w:t>
      </w:r>
      <w:r w:rsidR="00086700">
        <w:rPr>
          <w:rFonts w:ascii="Neo Sans Pro" w:hAnsi="Neo Sans Pro"/>
          <w:sz w:val="28"/>
          <w:szCs w:val="28"/>
        </w:rPr>
        <w:t xml:space="preserve"> года</w:t>
      </w:r>
      <w:r w:rsidRPr="00627116">
        <w:rPr>
          <w:rFonts w:ascii="Neo Sans Pro" w:hAnsi="Neo Sans Pro"/>
          <w:sz w:val="28"/>
          <w:szCs w:val="28"/>
        </w:rPr>
        <w:t>.</w:t>
      </w:r>
    </w:p>
    <w:p w14:paraId="7A088F8B" w14:textId="77777777" w:rsidR="00736399" w:rsidRPr="00627116" w:rsidRDefault="00736399" w:rsidP="008C1E2C">
      <w:pPr>
        <w:pStyle w:val="a6"/>
        <w:spacing w:before="2" w:after="0"/>
        <w:rPr>
          <w:rFonts w:ascii="Neo Sans Pro" w:hAnsi="Neo Sans Pro"/>
          <w:sz w:val="28"/>
          <w:szCs w:val="28"/>
        </w:rPr>
      </w:pPr>
    </w:p>
    <w:p w14:paraId="3577B125" w14:textId="210F9414" w:rsidR="00736399" w:rsidRPr="00736399" w:rsidRDefault="00736399" w:rsidP="005F4E35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627116">
        <w:rPr>
          <w:rFonts w:ascii="Neo Sans Pro" w:hAnsi="Neo Sans Pro"/>
          <w:b/>
          <w:sz w:val="28"/>
          <w:szCs w:val="28"/>
        </w:rPr>
        <w:t>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5F4E35" w:rsidRPr="005F4E35">
        <w:rPr>
          <w:rFonts w:ascii="Neo Sans Pro" w:hAnsi="Neo Sans Pro"/>
          <w:sz w:val="28"/>
          <w:szCs w:val="28"/>
        </w:rPr>
        <w:t>про</w:t>
      </w:r>
      <w:r w:rsidR="005F4E35">
        <w:rPr>
          <w:rFonts w:ascii="Neo Sans Pro" w:hAnsi="Neo Sans Pro"/>
          <w:sz w:val="28"/>
          <w:szCs w:val="28"/>
        </w:rPr>
        <w:t xml:space="preserve">изводится безналичным платежом. </w:t>
      </w:r>
      <w:r w:rsidR="005F4E35" w:rsidRPr="005F4E35">
        <w:rPr>
          <w:rFonts w:ascii="Neo Sans Pro" w:hAnsi="Neo Sans Pro"/>
          <w:sz w:val="28"/>
          <w:szCs w:val="28"/>
        </w:rPr>
        <w:t>Заказчик производ</w:t>
      </w:r>
      <w:r w:rsidR="005F4E35">
        <w:rPr>
          <w:rFonts w:ascii="Neo Sans Pro" w:hAnsi="Neo Sans Pro"/>
          <w:sz w:val="28"/>
          <w:szCs w:val="28"/>
        </w:rPr>
        <w:t xml:space="preserve">ит оплату топлива за фактически </w:t>
      </w:r>
      <w:r w:rsidR="005F4E35" w:rsidRPr="005F4E35">
        <w:rPr>
          <w:rFonts w:ascii="Neo Sans Pro" w:hAnsi="Neo Sans Pro"/>
          <w:sz w:val="28"/>
          <w:szCs w:val="28"/>
        </w:rPr>
        <w:t>полученный объем, в течени</w:t>
      </w:r>
      <w:r w:rsidR="005F4E35">
        <w:rPr>
          <w:rFonts w:ascii="Neo Sans Pro" w:hAnsi="Neo Sans Pro"/>
          <w:sz w:val="28"/>
          <w:szCs w:val="28"/>
        </w:rPr>
        <w:t xml:space="preserve">е 30-ти календарных дней с даты </w:t>
      </w:r>
      <w:r w:rsidR="005F4E35" w:rsidRPr="005F4E35">
        <w:rPr>
          <w:rFonts w:ascii="Neo Sans Pro" w:hAnsi="Neo Sans Pro"/>
          <w:sz w:val="28"/>
          <w:szCs w:val="28"/>
        </w:rPr>
        <w:t>предоставления Поставщ</w:t>
      </w:r>
      <w:r w:rsidR="005F4E35">
        <w:rPr>
          <w:rFonts w:ascii="Neo Sans Pro" w:hAnsi="Neo Sans Pro"/>
          <w:sz w:val="28"/>
          <w:szCs w:val="28"/>
        </w:rPr>
        <w:t xml:space="preserve">иком платежных документов счета </w:t>
      </w:r>
      <w:r w:rsidR="005F4E35" w:rsidRPr="005F4E35">
        <w:rPr>
          <w:rFonts w:ascii="Neo Sans Pro" w:hAnsi="Neo Sans Pro"/>
          <w:sz w:val="28"/>
          <w:szCs w:val="28"/>
        </w:rPr>
        <w:t>(счета-фактуры) и то</w:t>
      </w:r>
      <w:r w:rsidR="005F4E35">
        <w:rPr>
          <w:rFonts w:ascii="Neo Sans Pro" w:hAnsi="Neo Sans Pro"/>
          <w:sz w:val="28"/>
          <w:szCs w:val="28"/>
        </w:rPr>
        <w:t>варной накладной (универсальный</w:t>
      </w:r>
      <w:r w:rsidR="009D721A" w:rsidRPr="009D721A">
        <w:rPr>
          <w:rFonts w:ascii="Neo Sans Pro" w:hAnsi="Neo Sans Pro"/>
          <w:sz w:val="28"/>
          <w:szCs w:val="28"/>
        </w:rPr>
        <w:t xml:space="preserve"> </w:t>
      </w:r>
      <w:r w:rsidR="005F4E35" w:rsidRPr="005F4E35">
        <w:rPr>
          <w:rFonts w:ascii="Neo Sans Pro" w:hAnsi="Neo Sans Pro"/>
          <w:sz w:val="28"/>
          <w:szCs w:val="28"/>
        </w:rPr>
        <w:t>передаточный документ). Аванс не предусмотрен.</w:t>
      </w:r>
    </w:p>
    <w:p w14:paraId="4BD3B6C7" w14:textId="77777777" w:rsidR="00736399" w:rsidRPr="00736399" w:rsidRDefault="00736399" w:rsidP="008C1E2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686B8FA6" w14:textId="6A2EA76A" w:rsidR="0049411A" w:rsidRPr="0049411A" w:rsidRDefault="00736399" w:rsidP="0049411A">
      <w:pPr>
        <w:pStyle w:val="a6"/>
        <w:ind w:left="102" w:right="104" w:firstLine="707"/>
        <w:jc w:val="both"/>
        <w:rPr>
          <w:rFonts w:ascii="Neo Sans Pro" w:eastAsia="Calibri" w:hAnsi="Neo Sans Pro"/>
          <w:bCs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C51A6">
        <w:rPr>
          <w:rFonts w:ascii="Neo Sans Pro" w:eastAsia="Calibri" w:hAnsi="Neo Sans Pro" w:cs="Times New Roman"/>
          <w:bCs/>
          <w:sz w:val="28"/>
          <w:szCs w:val="28"/>
        </w:rPr>
        <w:t xml:space="preserve"> </w:t>
      </w:r>
      <w:r w:rsidR="0049411A">
        <w:rPr>
          <w:rFonts w:ascii="Neo Sans Pro" w:eastAsia="Calibri" w:hAnsi="Neo Sans Pro" w:cs="Times New Roman"/>
          <w:bCs/>
          <w:sz w:val="28"/>
          <w:szCs w:val="28"/>
        </w:rPr>
        <w:t xml:space="preserve">Ульяновская область. </w:t>
      </w:r>
      <w:r w:rsidR="0049411A" w:rsidRPr="0049411A">
        <w:rPr>
          <w:rFonts w:ascii="Neo Sans Pro" w:eastAsia="Calibri" w:hAnsi="Neo Sans Pro"/>
          <w:bCs/>
          <w:sz w:val="28"/>
          <w:szCs w:val="28"/>
        </w:rPr>
        <w:t>Предлагаемые АЗС должны быть расположены в радиусе не</w:t>
      </w:r>
      <w:r w:rsidR="0049411A">
        <w:rPr>
          <w:rFonts w:ascii="Neo Sans Pro" w:eastAsia="Calibri" w:hAnsi="Neo Sans Pro"/>
          <w:bCs/>
          <w:sz w:val="28"/>
          <w:szCs w:val="28"/>
        </w:rPr>
        <w:t xml:space="preserve"> </w:t>
      </w:r>
      <w:r w:rsidR="0049411A" w:rsidRPr="0049411A">
        <w:rPr>
          <w:rFonts w:ascii="Neo Sans Pro" w:eastAsia="Calibri" w:hAnsi="Neo Sans Pro"/>
          <w:bCs/>
          <w:sz w:val="28"/>
          <w:szCs w:val="28"/>
        </w:rPr>
        <w:t>более 15 километров от местонахождения Заказчика</w:t>
      </w:r>
    </w:p>
    <w:p w14:paraId="6DE380D8" w14:textId="0172BCBC" w:rsidR="00736399" w:rsidRPr="004C51A6" w:rsidRDefault="00736399" w:rsidP="004C51A6">
      <w:pPr>
        <w:pStyle w:val="a6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</w:p>
    <w:p w14:paraId="742C900B" w14:textId="77777777" w:rsidR="00736399" w:rsidRPr="00736399" w:rsidRDefault="00736399" w:rsidP="008C1E2C">
      <w:pPr>
        <w:pStyle w:val="a6"/>
        <w:spacing w:after="0"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2A044C84" w14:textId="7AA5E01E" w:rsidR="00736399" w:rsidRDefault="00736399" w:rsidP="008C1E2C">
      <w:pPr>
        <w:pStyle w:val="a6"/>
        <w:spacing w:after="0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3342137E" w14:textId="77777777" w:rsidR="00E577DA" w:rsidRPr="00736399" w:rsidRDefault="00E577DA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402"/>
        <w:gridCol w:w="1417"/>
        <w:gridCol w:w="1355"/>
      </w:tblGrid>
      <w:tr w:rsidR="00736399" w:rsidRPr="00136518" w14:paraId="46EE5465" w14:textId="77777777" w:rsidTr="00C67AC3">
        <w:trPr>
          <w:trHeight w:val="964"/>
        </w:trPr>
        <w:tc>
          <w:tcPr>
            <w:tcW w:w="879" w:type="dxa"/>
          </w:tcPr>
          <w:p w14:paraId="29D4F886" w14:textId="77777777" w:rsidR="00736399" w:rsidRPr="00C67AC3" w:rsidRDefault="00736399" w:rsidP="00E73ECD">
            <w:pPr>
              <w:pStyle w:val="TableParagraph"/>
              <w:spacing w:before="1" w:line="322" w:lineRule="exact"/>
              <w:ind w:left="107" w:right="164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lastRenderedPageBreak/>
              <w:t>№ п/ п</w:t>
            </w:r>
          </w:p>
        </w:tc>
        <w:tc>
          <w:tcPr>
            <w:tcW w:w="2268" w:type="dxa"/>
          </w:tcPr>
          <w:p w14:paraId="6A4F0791" w14:textId="77777777" w:rsidR="00736399" w:rsidRPr="00C67AC3" w:rsidRDefault="00736399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</w:p>
          <w:p w14:paraId="74E2432E" w14:textId="77777777" w:rsidR="00736399" w:rsidRPr="00C67AC3" w:rsidRDefault="00736399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Наименование товара</w:t>
            </w:r>
          </w:p>
        </w:tc>
        <w:tc>
          <w:tcPr>
            <w:tcW w:w="3402" w:type="dxa"/>
          </w:tcPr>
          <w:p w14:paraId="27381F11" w14:textId="77777777" w:rsidR="00736399" w:rsidRPr="00C67AC3" w:rsidRDefault="00736399" w:rsidP="00E73ECD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Технические характеристики товара</w:t>
            </w:r>
          </w:p>
        </w:tc>
        <w:tc>
          <w:tcPr>
            <w:tcW w:w="1417" w:type="dxa"/>
          </w:tcPr>
          <w:p w14:paraId="2F0CA39F" w14:textId="6A511B36" w:rsidR="00736399" w:rsidRPr="00C67AC3" w:rsidRDefault="00736399" w:rsidP="00E73ECD">
            <w:pPr>
              <w:pStyle w:val="TableParagraph"/>
              <w:ind w:left="109" w:right="259"/>
              <w:jc w:val="center"/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</w:pPr>
          </w:p>
          <w:p w14:paraId="12EDD971" w14:textId="77777777" w:rsidR="00736399" w:rsidRPr="00C67AC3" w:rsidRDefault="00736399" w:rsidP="00E73ECD">
            <w:pPr>
              <w:pStyle w:val="TableParagraph"/>
              <w:ind w:right="259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t>Кол</w:t>
            </w:r>
            <w:r w:rsidRPr="00C67AC3">
              <w:rPr>
                <w:rFonts w:ascii="Neo Sans Pro" w:hAnsi="Neo Sans Pro"/>
                <w:b/>
                <w:w w:val="105"/>
                <w:sz w:val="28"/>
                <w:szCs w:val="28"/>
              </w:rPr>
              <w:t>-</w:t>
            </w: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t>во</w:t>
            </w:r>
          </w:p>
        </w:tc>
        <w:tc>
          <w:tcPr>
            <w:tcW w:w="1355" w:type="dxa"/>
          </w:tcPr>
          <w:p w14:paraId="49BB6CE3" w14:textId="77777777" w:rsidR="00736399" w:rsidRPr="00C67AC3" w:rsidRDefault="00736399" w:rsidP="00E73ECD">
            <w:pPr>
              <w:pStyle w:val="TableParagraph"/>
              <w:spacing w:before="9"/>
              <w:jc w:val="center"/>
              <w:rPr>
                <w:rFonts w:ascii="Neo Sans Pro" w:hAnsi="Neo Sans Pro"/>
                <w:sz w:val="28"/>
                <w:szCs w:val="28"/>
              </w:rPr>
            </w:pPr>
          </w:p>
          <w:p w14:paraId="364D1A14" w14:textId="77777777" w:rsidR="00736399" w:rsidRPr="00C67AC3" w:rsidRDefault="00736399" w:rsidP="00E73ECD">
            <w:pPr>
              <w:pStyle w:val="TableParagraph"/>
              <w:ind w:left="107"/>
              <w:jc w:val="center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sz w:val="28"/>
                <w:szCs w:val="28"/>
              </w:rPr>
              <w:t>Ед. измер.</w:t>
            </w:r>
          </w:p>
        </w:tc>
      </w:tr>
      <w:tr w:rsidR="004C51A6" w:rsidRPr="00136518" w14:paraId="1BACB6DD" w14:textId="77777777" w:rsidTr="00C67AC3">
        <w:trPr>
          <w:trHeight w:val="1269"/>
        </w:trPr>
        <w:tc>
          <w:tcPr>
            <w:tcW w:w="879" w:type="dxa"/>
            <w:vAlign w:val="center"/>
          </w:tcPr>
          <w:p w14:paraId="71AB65EE" w14:textId="17E217C8" w:rsidR="004C51A6" w:rsidRPr="004C51A6" w:rsidRDefault="009D721A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1</w:t>
            </w:r>
            <w:r w:rsidR="004C51A6">
              <w:rPr>
                <w:rFonts w:ascii="Neo Sans Pro" w:hAnsi="Neo Sans Pro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14:paraId="57725571" w14:textId="03D5756F" w:rsidR="004C51A6" w:rsidRPr="004C51A6" w:rsidRDefault="004C51A6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Бензин автомобильный АИ-92 экологического класса К5 </w:t>
            </w:r>
          </w:p>
        </w:tc>
        <w:tc>
          <w:tcPr>
            <w:tcW w:w="3402" w:type="dxa"/>
            <w:vAlign w:val="center"/>
          </w:tcPr>
          <w:p w14:paraId="5844C52A" w14:textId="0418BA0D" w:rsidR="004C51A6" w:rsidRPr="004C51A6" w:rsidRDefault="004C51A6" w:rsidP="004C51A6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</w:t>
            </w:r>
            <w:r>
              <w:rPr>
                <w:rFonts w:ascii="Neo Sans Pro" w:hAnsi="Neo Sans Pro"/>
                <w:sz w:val="28"/>
                <w:szCs w:val="28"/>
                <w:lang w:val="ru-RU"/>
              </w:rPr>
              <w:t>3</w:t>
            </w: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-2013, экологический класс К5</w:t>
            </w:r>
          </w:p>
        </w:tc>
        <w:tc>
          <w:tcPr>
            <w:tcW w:w="1417" w:type="dxa"/>
            <w:vAlign w:val="center"/>
          </w:tcPr>
          <w:p w14:paraId="614CB26C" w14:textId="22395365" w:rsidR="004C51A6" w:rsidRPr="004C51A6" w:rsidRDefault="008C7051" w:rsidP="00CE359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3 500</w:t>
            </w:r>
          </w:p>
        </w:tc>
        <w:tc>
          <w:tcPr>
            <w:tcW w:w="1355" w:type="dxa"/>
            <w:vAlign w:val="center"/>
          </w:tcPr>
          <w:p w14:paraId="5665D517" w14:textId="0414F121" w:rsidR="004C51A6" w:rsidRPr="004C51A6" w:rsidRDefault="004C51A6" w:rsidP="00CE359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4C51A6" w:rsidRPr="00136518" w14:paraId="7247F9DF" w14:textId="77777777" w:rsidTr="00C67AC3">
        <w:trPr>
          <w:trHeight w:val="1269"/>
        </w:trPr>
        <w:tc>
          <w:tcPr>
            <w:tcW w:w="879" w:type="dxa"/>
            <w:vAlign w:val="center"/>
          </w:tcPr>
          <w:p w14:paraId="04D76622" w14:textId="6CE3BF6C" w:rsidR="004C51A6" w:rsidRPr="004C51A6" w:rsidRDefault="009D721A" w:rsidP="004C51A6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2</w:t>
            </w:r>
            <w:r w:rsidR="004C51A6">
              <w:rPr>
                <w:rFonts w:ascii="Neo Sans Pro" w:hAnsi="Neo Sans Pro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14:paraId="3EFE88C8" w14:textId="77777777" w:rsidR="008C7051" w:rsidRPr="008C7051" w:rsidRDefault="008C7051" w:rsidP="008C7051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r w:rsidRPr="008C7051">
              <w:rPr>
                <w:rFonts w:ascii="Neo Sans Pro" w:hAnsi="Neo Sans Pro"/>
                <w:sz w:val="28"/>
                <w:szCs w:val="28"/>
              </w:rPr>
              <w:t>Дизельное топливо по</w:t>
            </w:r>
          </w:p>
          <w:p w14:paraId="45D225E4" w14:textId="77777777" w:rsidR="008C7051" w:rsidRPr="008C7051" w:rsidRDefault="008C7051" w:rsidP="008C7051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r w:rsidRPr="008C7051">
              <w:rPr>
                <w:rFonts w:ascii="Neo Sans Pro" w:hAnsi="Neo Sans Pro"/>
                <w:sz w:val="28"/>
                <w:szCs w:val="28"/>
              </w:rPr>
              <w:t>сезону</w:t>
            </w:r>
          </w:p>
          <w:p w14:paraId="5675D375" w14:textId="21F13EAF" w:rsidR="004C51A6" w:rsidRPr="004C51A6" w:rsidRDefault="004C51A6" w:rsidP="004C51A6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39D628F8" w14:textId="77777777" w:rsidR="008C7051" w:rsidRPr="008C7051" w:rsidRDefault="008C7051" w:rsidP="008C7051">
            <w:pPr>
              <w:rPr>
                <w:rFonts w:ascii="Neo Sans Pro" w:hAnsi="Neo Sans Pro"/>
                <w:sz w:val="28"/>
                <w:szCs w:val="28"/>
              </w:rPr>
            </w:pPr>
            <w:r w:rsidRPr="008C7051">
              <w:rPr>
                <w:rFonts w:ascii="Neo Sans Pro" w:hAnsi="Neo Sans Pro"/>
                <w:sz w:val="28"/>
                <w:szCs w:val="28"/>
              </w:rPr>
              <w:t>ГОСТ Р 32511-2013,</w:t>
            </w:r>
          </w:p>
          <w:p w14:paraId="67EE93CC" w14:textId="77777777" w:rsidR="008C7051" w:rsidRPr="008C7051" w:rsidRDefault="008C7051" w:rsidP="008C7051">
            <w:pPr>
              <w:rPr>
                <w:rFonts w:ascii="Neo Sans Pro" w:hAnsi="Neo Sans Pro"/>
                <w:sz w:val="28"/>
                <w:szCs w:val="28"/>
              </w:rPr>
            </w:pPr>
            <w:r w:rsidRPr="008C7051">
              <w:rPr>
                <w:rFonts w:ascii="Neo Sans Pro" w:hAnsi="Neo Sans Pro"/>
                <w:sz w:val="28"/>
                <w:szCs w:val="28"/>
              </w:rPr>
              <w:t>экологический класс К5</w:t>
            </w:r>
          </w:p>
          <w:p w14:paraId="013E16AF" w14:textId="64089F5A" w:rsidR="004C51A6" w:rsidRPr="004C51A6" w:rsidRDefault="004C51A6" w:rsidP="004C51A6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14:paraId="45F8EF9F" w14:textId="6F460E82" w:rsidR="004C51A6" w:rsidRPr="004C51A6" w:rsidRDefault="008C7051" w:rsidP="004C51A6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1 600</w:t>
            </w:r>
          </w:p>
        </w:tc>
        <w:tc>
          <w:tcPr>
            <w:tcW w:w="1355" w:type="dxa"/>
            <w:vAlign w:val="center"/>
          </w:tcPr>
          <w:p w14:paraId="7A0D7B81" w14:textId="44E79A3D" w:rsidR="004C51A6" w:rsidRPr="004C51A6" w:rsidRDefault="004C51A6" w:rsidP="004C51A6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</w:tbl>
    <w:p w14:paraId="3FA520FD" w14:textId="77777777" w:rsidR="006D526F" w:rsidRDefault="006D526F" w:rsidP="00736399">
      <w:pPr>
        <w:pStyle w:val="a6"/>
        <w:spacing w:before="89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630B581B" w14:textId="33D64F18" w:rsidR="00736399" w:rsidRPr="00736399" w:rsidRDefault="00736399" w:rsidP="00736399">
      <w:pPr>
        <w:pStyle w:val="a6"/>
        <w:spacing w:before="89"/>
        <w:ind w:left="102" w:right="107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Соответствие лица, предоставившего коммерческое предложение (потенциального участника закупки) требованиям ст. 31 ФЗ от 05.04.2013г. № 44.</w:t>
      </w:r>
    </w:p>
    <w:p w14:paraId="3F0FD080" w14:textId="2AED4985" w:rsidR="00736399" w:rsidRDefault="00736399" w:rsidP="00736399">
      <w:pPr>
        <w:pStyle w:val="a6"/>
        <w:rPr>
          <w:rFonts w:ascii="Neo Sans Pro" w:hAnsi="Neo Sans Pro"/>
          <w:sz w:val="28"/>
          <w:szCs w:val="28"/>
        </w:rPr>
      </w:pPr>
    </w:p>
    <w:p w14:paraId="188DA045" w14:textId="2920549C" w:rsidR="00736399" w:rsidRPr="00736399" w:rsidRDefault="00736399" w:rsidP="00736399">
      <w:pPr>
        <w:pStyle w:val="a6"/>
        <w:spacing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8C7051">
        <w:rPr>
          <w:rFonts w:ascii="Neo Sans Pro" w:hAnsi="Neo Sans Pro"/>
          <w:b/>
          <w:sz w:val="28"/>
          <w:szCs w:val="28"/>
        </w:rPr>
        <w:t>25</w:t>
      </w:r>
      <w:r w:rsidR="009D721A">
        <w:rPr>
          <w:rFonts w:ascii="Neo Sans Pro" w:hAnsi="Neo Sans Pro"/>
          <w:b/>
          <w:sz w:val="28"/>
          <w:szCs w:val="28"/>
        </w:rPr>
        <w:t xml:space="preserve"> июня 2021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2C514974" w14:textId="7379E6A5" w:rsidR="00672CD6" w:rsidRDefault="00672CD6" w:rsidP="00A97E37"/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10B1F283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D721A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5A67" w14:textId="77777777" w:rsidR="004801B8" w:rsidRDefault="004801B8">
      <w:r>
        <w:separator/>
      </w:r>
    </w:p>
  </w:endnote>
  <w:endnote w:type="continuationSeparator" w:id="0">
    <w:p w14:paraId="72C8708B" w14:textId="77777777" w:rsidR="004801B8" w:rsidRDefault="004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59545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5D1E" w14:textId="77777777" w:rsidR="004801B8" w:rsidRDefault="004801B8">
      <w:r>
        <w:separator/>
      </w:r>
    </w:p>
  </w:footnote>
  <w:footnote w:type="continuationSeparator" w:id="0">
    <w:p w14:paraId="353768E8" w14:textId="77777777" w:rsidR="004801B8" w:rsidRDefault="0048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59545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04EF9"/>
    <w:rsid w:val="0003202B"/>
    <w:rsid w:val="00032DA7"/>
    <w:rsid w:val="00056AD8"/>
    <w:rsid w:val="000709D8"/>
    <w:rsid w:val="00074150"/>
    <w:rsid w:val="000804E8"/>
    <w:rsid w:val="00086700"/>
    <w:rsid w:val="000A2A68"/>
    <w:rsid w:val="000A36E0"/>
    <w:rsid w:val="000A5C06"/>
    <w:rsid w:val="001106FF"/>
    <w:rsid w:val="001206EC"/>
    <w:rsid w:val="00127B7F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16ECB"/>
    <w:rsid w:val="00327A68"/>
    <w:rsid w:val="003454F0"/>
    <w:rsid w:val="0035020E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801B8"/>
    <w:rsid w:val="00482629"/>
    <w:rsid w:val="004939FD"/>
    <w:rsid w:val="0049411A"/>
    <w:rsid w:val="00495A1F"/>
    <w:rsid w:val="00496121"/>
    <w:rsid w:val="004B09A6"/>
    <w:rsid w:val="004C51A6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527D7"/>
    <w:rsid w:val="0056198F"/>
    <w:rsid w:val="005676BE"/>
    <w:rsid w:val="00571E8E"/>
    <w:rsid w:val="0059212C"/>
    <w:rsid w:val="005B277B"/>
    <w:rsid w:val="005B53D2"/>
    <w:rsid w:val="005B6321"/>
    <w:rsid w:val="005B6AC4"/>
    <w:rsid w:val="005C59AD"/>
    <w:rsid w:val="005C75BF"/>
    <w:rsid w:val="005D03D1"/>
    <w:rsid w:val="005F3616"/>
    <w:rsid w:val="005F4E35"/>
    <w:rsid w:val="0060406A"/>
    <w:rsid w:val="00627116"/>
    <w:rsid w:val="00636842"/>
    <w:rsid w:val="00657887"/>
    <w:rsid w:val="00660AFD"/>
    <w:rsid w:val="00672CD6"/>
    <w:rsid w:val="00680EDA"/>
    <w:rsid w:val="006838D7"/>
    <w:rsid w:val="00687F47"/>
    <w:rsid w:val="00690BCD"/>
    <w:rsid w:val="006A5AE5"/>
    <w:rsid w:val="006B7037"/>
    <w:rsid w:val="006D526F"/>
    <w:rsid w:val="006D5B6F"/>
    <w:rsid w:val="006D765F"/>
    <w:rsid w:val="006E0199"/>
    <w:rsid w:val="006E0B51"/>
    <w:rsid w:val="006E153D"/>
    <w:rsid w:val="006E371A"/>
    <w:rsid w:val="006E43B7"/>
    <w:rsid w:val="006F230A"/>
    <w:rsid w:val="007009D0"/>
    <w:rsid w:val="00711A15"/>
    <w:rsid w:val="00713A66"/>
    <w:rsid w:val="00723A93"/>
    <w:rsid w:val="007275AC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D265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265AB"/>
    <w:rsid w:val="00837FBC"/>
    <w:rsid w:val="00845C7A"/>
    <w:rsid w:val="00862CBA"/>
    <w:rsid w:val="0086713F"/>
    <w:rsid w:val="008675CF"/>
    <w:rsid w:val="008753FB"/>
    <w:rsid w:val="008944A7"/>
    <w:rsid w:val="008A15FE"/>
    <w:rsid w:val="008B025D"/>
    <w:rsid w:val="008B34A5"/>
    <w:rsid w:val="008C1E2C"/>
    <w:rsid w:val="008C7051"/>
    <w:rsid w:val="008D2EE5"/>
    <w:rsid w:val="008D7C4F"/>
    <w:rsid w:val="009048D3"/>
    <w:rsid w:val="00926429"/>
    <w:rsid w:val="009430C8"/>
    <w:rsid w:val="009761C2"/>
    <w:rsid w:val="009835D1"/>
    <w:rsid w:val="00992D3D"/>
    <w:rsid w:val="00994EB6"/>
    <w:rsid w:val="009B2A46"/>
    <w:rsid w:val="009B4935"/>
    <w:rsid w:val="009B4B9D"/>
    <w:rsid w:val="009B6976"/>
    <w:rsid w:val="009C5BC1"/>
    <w:rsid w:val="009D44EE"/>
    <w:rsid w:val="009D721A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59F2"/>
    <w:rsid w:val="00B47356"/>
    <w:rsid w:val="00B52FE7"/>
    <w:rsid w:val="00B54F48"/>
    <w:rsid w:val="00B81FD2"/>
    <w:rsid w:val="00B84773"/>
    <w:rsid w:val="00B95500"/>
    <w:rsid w:val="00BA545A"/>
    <w:rsid w:val="00BA6899"/>
    <w:rsid w:val="00BD2327"/>
    <w:rsid w:val="00BD38CB"/>
    <w:rsid w:val="00BD4164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019"/>
    <w:rsid w:val="00DD396B"/>
    <w:rsid w:val="00DD6156"/>
    <w:rsid w:val="00DD7D26"/>
    <w:rsid w:val="00DE3934"/>
    <w:rsid w:val="00DF7F0D"/>
    <w:rsid w:val="00E101BD"/>
    <w:rsid w:val="00E13A7C"/>
    <w:rsid w:val="00E239E1"/>
    <w:rsid w:val="00E327B8"/>
    <w:rsid w:val="00E36F39"/>
    <w:rsid w:val="00E40719"/>
    <w:rsid w:val="00E577DA"/>
    <w:rsid w:val="00E66367"/>
    <w:rsid w:val="00E667CF"/>
    <w:rsid w:val="00E73ECD"/>
    <w:rsid w:val="00E90D9D"/>
    <w:rsid w:val="00E90E35"/>
    <w:rsid w:val="00E97D5C"/>
    <w:rsid w:val="00EB1108"/>
    <w:rsid w:val="00EF27E4"/>
    <w:rsid w:val="00EF2859"/>
    <w:rsid w:val="00EF3258"/>
    <w:rsid w:val="00F0219D"/>
    <w:rsid w:val="00F044B5"/>
    <w:rsid w:val="00F05CD9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CCF3834D-1654-4E7C-8BA3-A144A88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1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Полина</cp:lastModifiedBy>
  <cp:revision>11</cp:revision>
  <cp:lastPrinted>2019-09-10T08:38:00Z</cp:lastPrinted>
  <dcterms:created xsi:type="dcterms:W3CDTF">2020-10-06T08:50:00Z</dcterms:created>
  <dcterms:modified xsi:type="dcterms:W3CDTF">2021-06-23T08:56:00Z</dcterms:modified>
</cp:coreProperties>
</file>